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55F" w:rsidRPr="0001455F" w:rsidRDefault="0001455F" w:rsidP="0001455F">
      <w:pPr>
        <w:spacing w:line="500" w:lineRule="exact"/>
        <w:ind w:firstLineChars="200" w:firstLine="602"/>
        <w:jc w:val="center"/>
        <w:rPr>
          <w:rFonts w:ascii="Times New Roman" w:eastAsia="黑体" w:hAnsi="Times New Roman" w:cs="Times New Roman"/>
          <w:b/>
          <w:sz w:val="30"/>
          <w:szCs w:val="30"/>
        </w:rPr>
      </w:pPr>
      <w:r w:rsidRPr="0001455F">
        <w:rPr>
          <w:rFonts w:ascii="Times New Roman" w:eastAsia="黑体" w:hAnsi="Times New Roman" w:cs="Times New Roman"/>
          <w:b/>
          <w:sz w:val="30"/>
          <w:szCs w:val="30"/>
        </w:rPr>
        <w:t>工商管理硕士（</w:t>
      </w:r>
      <w:r w:rsidRPr="0001455F">
        <w:rPr>
          <w:rFonts w:ascii="Times New Roman" w:eastAsia="黑体" w:hAnsi="Times New Roman" w:cs="Times New Roman"/>
          <w:b/>
          <w:sz w:val="30"/>
          <w:szCs w:val="30"/>
        </w:rPr>
        <w:t>MBA</w:t>
      </w:r>
      <w:r w:rsidRPr="0001455F">
        <w:rPr>
          <w:rFonts w:ascii="Times New Roman" w:eastAsia="黑体" w:hAnsi="Times New Roman" w:cs="Times New Roman"/>
          <w:b/>
          <w:sz w:val="30"/>
          <w:szCs w:val="30"/>
        </w:rPr>
        <w:t>）研究生培养方案</w:t>
      </w:r>
    </w:p>
    <w:p w:rsidR="0001455F" w:rsidRPr="0001455F" w:rsidRDefault="0001455F" w:rsidP="0001455F">
      <w:pPr>
        <w:spacing w:line="500" w:lineRule="exact"/>
        <w:ind w:firstLineChars="200" w:firstLine="560"/>
        <w:jc w:val="center"/>
        <w:rPr>
          <w:rFonts w:ascii="Times New Roman" w:eastAsia="黑体" w:hAnsi="Times New Roman" w:cs="Times New Roman"/>
          <w:sz w:val="28"/>
        </w:rPr>
      </w:pPr>
      <w:r w:rsidRPr="0001455F">
        <w:rPr>
          <w:rFonts w:ascii="Times New Roman" w:eastAsia="黑体" w:hAnsi="Times New Roman" w:cs="Times New Roman"/>
          <w:sz w:val="28"/>
        </w:rPr>
        <w:t>专业领域代码：</w:t>
      </w:r>
      <w:r w:rsidRPr="0001455F">
        <w:rPr>
          <w:rFonts w:ascii="Times New Roman" w:eastAsia="黑体" w:hAnsi="Times New Roman" w:cs="Times New Roman"/>
          <w:sz w:val="28"/>
        </w:rPr>
        <w:t>1251</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一、培养目标</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培养服务于国家能源战略和区域经济发展，专业知识、工作能力、综合素质得到全面发展的应用型、复合型管理人才，使学员成长为石油石化企业和其他企业的职业经理、具有全球战略意识的企业家、成为国际经济一体化大背景下的商界领袖。</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二、领域范围及研究方向介绍</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主要针对企业或其他组织中的实际管理问题展开应用研究，强调灵活运用系统化的管理知识，提出整体解决方案。</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1</w:t>
      </w:r>
      <w:r w:rsidRPr="0001455F">
        <w:rPr>
          <w:rFonts w:ascii="Times New Roman" w:eastAsia="宋体" w:hAnsi="Times New Roman" w:cs="Times New Roman"/>
          <w:sz w:val="24"/>
        </w:rPr>
        <w:t>．企业战略与管理方向：企业战略的理论基础；战略的分析、制定、执行与后评价；国际背景下的企业战略管理。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2</w:t>
      </w:r>
      <w:r w:rsidRPr="0001455F">
        <w:rPr>
          <w:rFonts w:ascii="Times New Roman" w:eastAsia="宋体" w:hAnsi="Times New Roman" w:cs="Times New Roman"/>
          <w:sz w:val="24"/>
        </w:rPr>
        <w:t>．国际化经营与管理方向：国际背景下企业的战略管理、日常运行、商务谈判、贸易实务、跨文化管理等。</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3</w:t>
      </w:r>
      <w:r w:rsidRPr="0001455F">
        <w:rPr>
          <w:rFonts w:ascii="Times New Roman" w:eastAsia="宋体" w:hAnsi="Times New Roman" w:cs="Times New Roman"/>
          <w:sz w:val="24"/>
        </w:rPr>
        <w:t>．公司财务与会计：企业的并购重及会计处理；税务会计与纳税筹划；预算管理与成本控制；针对石油石化行业的会计问题等。</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4</w:t>
      </w:r>
      <w:r w:rsidRPr="0001455F">
        <w:rPr>
          <w:rFonts w:ascii="Times New Roman" w:eastAsia="宋体" w:hAnsi="Times New Roman" w:cs="Times New Roman"/>
          <w:sz w:val="24"/>
        </w:rPr>
        <w:t>．营销与物流管理：消费者行为；公共关系管理与沟通；物流与供应链管理；具有石油行业特色的成品油营销管理与物流管理。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5</w:t>
      </w:r>
      <w:r w:rsidRPr="0001455F">
        <w:rPr>
          <w:rFonts w:ascii="Times New Roman" w:eastAsia="宋体" w:hAnsi="Times New Roman" w:cs="Times New Roman"/>
          <w:sz w:val="24"/>
        </w:rPr>
        <w:t>．人力资源与组织管理：战略性人力资源管理；绩效管理与薪酬管理；组织沟通研究；政府等非营利组织的管理。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6</w:t>
      </w:r>
      <w:r w:rsidRPr="0001455F">
        <w:rPr>
          <w:rFonts w:ascii="Times New Roman" w:eastAsia="宋体" w:hAnsi="Times New Roman" w:cs="Times New Roman"/>
          <w:sz w:val="24"/>
        </w:rPr>
        <w:t>．项目管理与风险管理：项目管理的一般过程与原理；项目计划与控制、项目评价与风险管理；项目情境下的沟通管理与人力资源管理。</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三、培养方向</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1</w:t>
      </w:r>
      <w:r w:rsidRPr="0001455F">
        <w:rPr>
          <w:rFonts w:ascii="Times New Roman" w:eastAsia="宋体" w:hAnsi="Times New Roman" w:cs="Times New Roman"/>
          <w:sz w:val="24"/>
        </w:rPr>
        <w:t>．企业战略与管理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2</w:t>
      </w:r>
      <w:r w:rsidRPr="0001455F">
        <w:rPr>
          <w:rFonts w:ascii="Times New Roman" w:eastAsia="宋体" w:hAnsi="Times New Roman" w:cs="Times New Roman"/>
          <w:sz w:val="24"/>
        </w:rPr>
        <w:t>．国际化经营与管理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3</w:t>
      </w:r>
      <w:r w:rsidRPr="0001455F">
        <w:rPr>
          <w:rFonts w:ascii="Times New Roman" w:eastAsia="宋体" w:hAnsi="Times New Roman" w:cs="Times New Roman"/>
          <w:sz w:val="24"/>
        </w:rPr>
        <w:t>．公司财务与会计</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4</w:t>
      </w:r>
      <w:r w:rsidRPr="0001455F">
        <w:rPr>
          <w:rFonts w:ascii="Times New Roman" w:eastAsia="宋体" w:hAnsi="Times New Roman" w:cs="Times New Roman"/>
          <w:sz w:val="24"/>
        </w:rPr>
        <w:t>．营销与物流管理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lastRenderedPageBreak/>
        <w:t>5</w:t>
      </w:r>
      <w:r w:rsidRPr="0001455F">
        <w:rPr>
          <w:rFonts w:ascii="Times New Roman" w:eastAsia="宋体" w:hAnsi="Times New Roman" w:cs="Times New Roman"/>
          <w:sz w:val="24"/>
        </w:rPr>
        <w:t>．人力资源与组织管理</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6</w:t>
      </w:r>
      <w:r w:rsidRPr="0001455F">
        <w:rPr>
          <w:rFonts w:ascii="Times New Roman" w:eastAsia="宋体" w:hAnsi="Times New Roman" w:cs="Times New Roman"/>
          <w:sz w:val="24"/>
        </w:rPr>
        <w:t>．项目管理与风险管理</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四、学习年限</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基本学习年限为</w:t>
      </w:r>
      <w:r w:rsidRPr="0001455F">
        <w:rPr>
          <w:rFonts w:ascii="Times New Roman" w:eastAsia="宋体" w:hAnsi="Times New Roman" w:cs="Times New Roman"/>
          <w:sz w:val="24"/>
        </w:rPr>
        <w:t>3</w:t>
      </w:r>
      <w:r w:rsidRPr="0001455F">
        <w:rPr>
          <w:rFonts w:ascii="Times New Roman" w:eastAsia="宋体" w:hAnsi="Times New Roman" w:cs="Times New Roman"/>
          <w:sz w:val="24"/>
        </w:rPr>
        <w:t>年。不能按期毕业者，可申请延期，最长不得超过</w:t>
      </w:r>
      <w:r w:rsidRPr="0001455F">
        <w:rPr>
          <w:rFonts w:ascii="Times New Roman" w:eastAsia="宋体" w:hAnsi="Times New Roman" w:cs="Times New Roman"/>
          <w:sz w:val="24"/>
        </w:rPr>
        <w:t>5</w:t>
      </w:r>
      <w:r w:rsidRPr="0001455F">
        <w:rPr>
          <w:rFonts w:ascii="Times New Roman" w:eastAsia="宋体" w:hAnsi="Times New Roman" w:cs="Times New Roman"/>
          <w:sz w:val="24"/>
        </w:rPr>
        <w:t>年。</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五、学分要求</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学分包括课程学分和实践学分。课程学分共</w:t>
      </w:r>
      <w:r w:rsidRPr="0001455F">
        <w:rPr>
          <w:rFonts w:ascii="Times New Roman" w:eastAsia="宋体" w:hAnsi="Times New Roman" w:cs="Times New Roman"/>
          <w:sz w:val="24"/>
        </w:rPr>
        <w:t>46</w:t>
      </w:r>
      <w:r w:rsidRPr="0001455F">
        <w:rPr>
          <w:rFonts w:ascii="Times New Roman" w:eastAsia="宋体" w:hAnsi="Times New Roman" w:cs="Times New Roman"/>
          <w:sz w:val="24"/>
        </w:rPr>
        <w:t>学分，包括核心课</w:t>
      </w:r>
      <w:r w:rsidRPr="0001455F">
        <w:rPr>
          <w:rFonts w:ascii="Times New Roman" w:eastAsia="宋体" w:hAnsi="Times New Roman" w:cs="Times New Roman"/>
          <w:sz w:val="24"/>
        </w:rPr>
        <w:t>28</w:t>
      </w:r>
      <w:r w:rsidRPr="0001455F">
        <w:rPr>
          <w:rFonts w:ascii="Times New Roman" w:eastAsia="宋体" w:hAnsi="Times New Roman" w:cs="Times New Roman"/>
          <w:sz w:val="24"/>
        </w:rPr>
        <w:t>学分，必修课</w:t>
      </w:r>
      <w:r w:rsidRPr="0001455F">
        <w:rPr>
          <w:rFonts w:ascii="Times New Roman" w:eastAsia="宋体" w:hAnsi="Times New Roman" w:cs="Times New Roman"/>
          <w:sz w:val="24"/>
        </w:rPr>
        <w:t>12</w:t>
      </w:r>
      <w:r w:rsidRPr="0001455F">
        <w:rPr>
          <w:rFonts w:ascii="Times New Roman" w:eastAsia="宋体" w:hAnsi="Times New Roman" w:cs="Times New Roman"/>
          <w:sz w:val="24"/>
        </w:rPr>
        <w:t>学分，选修课</w:t>
      </w:r>
      <w:r w:rsidRPr="0001455F">
        <w:rPr>
          <w:rFonts w:ascii="Times New Roman" w:eastAsia="宋体" w:hAnsi="Times New Roman" w:cs="Times New Roman"/>
          <w:sz w:val="24"/>
        </w:rPr>
        <w:t>6</w:t>
      </w:r>
      <w:r w:rsidRPr="0001455F">
        <w:rPr>
          <w:rFonts w:ascii="Times New Roman" w:eastAsia="宋体" w:hAnsi="Times New Roman" w:cs="Times New Roman"/>
          <w:sz w:val="24"/>
        </w:rPr>
        <w:t>学分。实践学分包括专题讲座</w:t>
      </w:r>
      <w:r w:rsidRPr="0001455F">
        <w:rPr>
          <w:rFonts w:ascii="Times New Roman" w:eastAsia="宋体" w:hAnsi="Times New Roman" w:cs="Times New Roman"/>
          <w:sz w:val="24"/>
        </w:rPr>
        <w:t>2</w:t>
      </w:r>
      <w:r w:rsidRPr="0001455F">
        <w:rPr>
          <w:rFonts w:ascii="Times New Roman" w:eastAsia="宋体" w:hAnsi="Times New Roman" w:cs="Times New Roman"/>
          <w:sz w:val="24"/>
        </w:rPr>
        <w:t>学分。</w:t>
      </w:r>
    </w:p>
    <w:p w:rsidR="00B031F1"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六、课程设置</w:t>
      </w:r>
      <w:r w:rsidRPr="0001455F">
        <w:rPr>
          <w:rFonts w:ascii="Times New Roman" w:eastAsia="黑体" w:hAnsi="Times New Roman" w:cs="Times New Roman"/>
          <w:sz w:val="28"/>
        </w:rPr>
        <w:t></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268"/>
        <w:gridCol w:w="720"/>
        <w:gridCol w:w="1172"/>
        <w:gridCol w:w="3240"/>
        <w:gridCol w:w="720"/>
        <w:gridCol w:w="720"/>
        <w:gridCol w:w="720"/>
        <w:gridCol w:w="1080"/>
      </w:tblGrid>
      <w:tr w:rsidR="0001455F" w:rsidRPr="0001455F" w:rsidTr="0001455F">
        <w:tblPrEx>
          <w:tblCellMar>
            <w:top w:w="0" w:type="dxa"/>
            <w:bottom w:w="0" w:type="dxa"/>
          </w:tblCellMar>
        </w:tblPrEx>
        <w:trPr>
          <w:cantSplit/>
          <w:trHeight w:hRule="exact" w:val="1040"/>
        </w:trPr>
        <w:tc>
          <w:tcPr>
            <w:tcW w:w="1440" w:type="dxa"/>
            <w:gridSpan w:val="3"/>
            <w:vAlign w:val="center"/>
          </w:tcPr>
          <w:p w:rsidR="0001455F" w:rsidRPr="0001455F" w:rsidRDefault="0001455F" w:rsidP="00DF40F2">
            <w:pPr>
              <w:spacing w:before="120"/>
              <w:rPr>
                <w:rFonts w:ascii="Times New Roman" w:hAnsi="Times New Roman" w:cs="Times New Roman"/>
                <w:b/>
                <w:szCs w:val="21"/>
              </w:rPr>
            </w:pPr>
            <w:r w:rsidRPr="0001455F">
              <w:rPr>
                <w:rFonts w:ascii="Times New Roman" w:hAnsi="Times New Roman" w:cs="Times New Roman"/>
                <w:b/>
                <w:szCs w:val="21"/>
              </w:rPr>
              <w:t>课程类别</w:t>
            </w:r>
          </w:p>
        </w:tc>
        <w:tc>
          <w:tcPr>
            <w:tcW w:w="1172" w:type="dxa"/>
            <w:vAlign w:val="center"/>
          </w:tcPr>
          <w:p w:rsidR="0001455F" w:rsidRPr="0001455F" w:rsidRDefault="0001455F" w:rsidP="00DF40F2">
            <w:pPr>
              <w:rPr>
                <w:rFonts w:ascii="Times New Roman" w:hAnsi="Times New Roman" w:cs="Times New Roman"/>
                <w:b/>
                <w:szCs w:val="21"/>
              </w:rPr>
            </w:pPr>
            <w:r w:rsidRPr="0001455F">
              <w:rPr>
                <w:rFonts w:ascii="Times New Roman" w:hAnsi="Times New Roman" w:cs="Times New Roman"/>
                <w:b/>
                <w:szCs w:val="21"/>
              </w:rPr>
              <w:t>课程编号</w:t>
            </w:r>
          </w:p>
        </w:tc>
        <w:tc>
          <w:tcPr>
            <w:tcW w:w="3240" w:type="dxa"/>
            <w:vAlign w:val="center"/>
          </w:tcPr>
          <w:p w:rsidR="0001455F" w:rsidRPr="0001455F" w:rsidRDefault="0001455F" w:rsidP="00DF40F2">
            <w:pPr>
              <w:rPr>
                <w:rFonts w:ascii="Times New Roman" w:hAnsi="Times New Roman" w:cs="Times New Roman"/>
                <w:b/>
                <w:szCs w:val="21"/>
              </w:rPr>
            </w:pPr>
            <w:r w:rsidRPr="0001455F">
              <w:rPr>
                <w:rFonts w:ascii="Times New Roman" w:hAnsi="Times New Roman" w:cs="Times New Roman"/>
                <w:b/>
                <w:szCs w:val="21"/>
              </w:rPr>
              <w:t>课</w:t>
            </w:r>
            <w:r w:rsidRPr="0001455F">
              <w:rPr>
                <w:rFonts w:ascii="Times New Roman" w:hAnsi="Times New Roman" w:cs="Times New Roman"/>
                <w:b/>
                <w:szCs w:val="21"/>
              </w:rPr>
              <w:t xml:space="preserve">  </w:t>
            </w:r>
            <w:r w:rsidRPr="0001455F">
              <w:rPr>
                <w:rFonts w:ascii="Times New Roman" w:hAnsi="Times New Roman" w:cs="Times New Roman"/>
                <w:b/>
                <w:szCs w:val="21"/>
              </w:rPr>
              <w:t>程</w:t>
            </w:r>
            <w:r w:rsidRPr="0001455F">
              <w:rPr>
                <w:rFonts w:ascii="Times New Roman" w:hAnsi="Times New Roman" w:cs="Times New Roman"/>
                <w:b/>
                <w:szCs w:val="21"/>
              </w:rPr>
              <w:t xml:space="preserve">  </w:t>
            </w:r>
            <w:r w:rsidRPr="0001455F">
              <w:rPr>
                <w:rFonts w:ascii="Times New Roman" w:hAnsi="Times New Roman" w:cs="Times New Roman"/>
                <w:b/>
                <w:szCs w:val="21"/>
              </w:rPr>
              <w:t>名</w:t>
            </w:r>
            <w:r w:rsidRPr="0001455F">
              <w:rPr>
                <w:rFonts w:ascii="Times New Roman" w:hAnsi="Times New Roman" w:cs="Times New Roman"/>
                <w:b/>
                <w:szCs w:val="21"/>
              </w:rPr>
              <w:t xml:space="preserve">  </w:t>
            </w:r>
            <w:r w:rsidRPr="0001455F">
              <w:rPr>
                <w:rFonts w:ascii="Times New Roman" w:hAnsi="Times New Roman" w:cs="Times New Roman"/>
                <w:b/>
                <w:szCs w:val="21"/>
              </w:rPr>
              <w:t>称</w:t>
            </w:r>
          </w:p>
        </w:tc>
        <w:tc>
          <w:tcPr>
            <w:tcW w:w="720" w:type="dxa"/>
            <w:vAlign w:val="center"/>
          </w:tcPr>
          <w:p w:rsidR="0001455F" w:rsidRPr="0001455F" w:rsidRDefault="0001455F" w:rsidP="00DF40F2">
            <w:pPr>
              <w:rPr>
                <w:rFonts w:ascii="Times New Roman" w:hAnsi="Times New Roman" w:cs="Times New Roman"/>
                <w:b/>
                <w:szCs w:val="21"/>
              </w:rPr>
            </w:pPr>
            <w:r w:rsidRPr="0001455F">
              <w:rPr>
                <w:rFonts w:ascii="Times New Roman" w:hAnsi="Times New Roman" w:cs="Times New Roman"/>
                <w:b/>
                <w:szCs w:val="21"/>
              </w:rPr>
              <w:t>学时</w:t>
            </w:r>
          </w:p>
        </w:tc>
        <w:tc>
          <w:tcPr>
            <w:tcW w:w="720" w:type="dxa"/>
            <w:vAlign w:val="center"/>
          </w:tcPr>
          <w:p w:rsidR="0001455F" w:rsidRPr="0001455F" w:rsidRDefault="0001455F" w:rsidP="00DF40F2">
            <w:pPr>
              <w:rPr>
                <w:rFonts w:ascii="Times New Roman" w:hAnsi="Times New Roman" w:cs="Times New Roman"/>
                <w:b/>
                <w:szCs w:val="21"/>
              </w:rPr>
            </w:pPr>
            <w:r w:rsidRPr="0001455F">
              <w:rPr>
                <w:rFonts w:ascii="Times New Roman" w:hAnsi="Times New Roman" w:cs="Times New Roman"/>
                <w:b/>
                <w:szCs w:val="21"/>
              </w:rPr>
              <w:t>学分</w:t>
            </w:r>
          </w:p>
        </w:tc>
        <w:tc>
          <w:tcPr>
            <w:tcW w:w="720" w:type="dxa"/>
            <w:vAlign w:val="center"/>
          </w:tcPr>
          <w:p w:rsidR="0001455F" w:rsidRPr="0001455F" w:rsidRDefault="0001455F" w:rsidP="00DF40F2">
            <w:pPr>
              <w:rPr>
                <w:rFonts w:ascii="Times New Roman" w:hAnsi="Times New Roman" w:cs="Times New Roman"/>
                <w:b/>
                <w:szCs w:val="21"/>
              </w:rPr>
            </w:pPr>
            <w:r w:rsidRPr="0001455F">
              <w:rPr>
                <w:rFonts w:ascii="Times New Roman" w:hAnsi="Times New Roman" w:cs="Times New Roman"/>
                <w:b/>
                <w:szCs w:val="21"/>
              </w:rPr>
              <w:t>学期</w:t>
            </w:r>
          </w:p>
        </w:tc>
        <w:tc>
          <w:tcPr>
            <w:tcW w:w="1080" w:type="dxa"/>
            <w:vAlign w:val="center"/>
          </w:tcPr>
          <w:p w:rsidR="0001455F" w:rsidRPr="0001455F" w:rsidRDefault="0001455F" w:rsidP="00DF40F2">
            <w:pPr>
              <w:spacing w:before="120"/>
              <w:rPr>
                <w:rFonts w:ascii="Times New Roman" w:hAnsi="Times New Roman" w:cs="Times New Roman"/>
                <w:b/>
                <w:szCs w:val="21"/>
              </w:rPr>
            </w:pPr>
            <w:r w:rsidRPr="0001455F">
              <w:rPr>
                <w:rFonts w:ascii="Times New Roman" w:hAnsi="Times New Roman" w:cs="Times New Roman"/>
                <w:b/>
                <w:szCs w:val="21"/>
              </w:rPr>
              <w:t>备注</w:t>
            </w:r>
          </w:p>
        </w:tc>
      </w:tr>
      <w:tr w:rsidR="0001455F" w:rsidRPr="0001455F" w:rsidTr="0001455F">
        <w:tblPrEx>
          <w:tblCellMar>
            <w:top w:w="0" w:type="dxa"/>
            <w:bottom w:w="0" w:type="dxa"/>
          </w:tblCellMar>
        </w:tblPrEx>
        <w:trPr>
          <w:cantSplit/>
          <w:trHeight w:val="284"/>
        </w:trPr>
        <w:tc>
          <w:tcPr>
            <w:tcW w:w="452" w:type="dxa"/>
            <w:vMerge w:val="restart"/>
            <w:vAlign w:val="center"/>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必</w:t>
            </w:r>
          </w:p>
          <w:p w:rsidR="0001455F" w:rsidRPr="0001455F" w:rsidRDefault="0001455F" w:rsidP="00DF40F2">
            <w:pPr>
              <w:ind w:firstLineChars="50" w:firstLine="105"/>
              <w:jc w:val="center"/>
              <w:rPr>
                <w:rFonts w:ascii="Times New Roman" w:hAnsi="Times New Roman" w:cs="Times New Roman"/>
                <w:szCs w:val="21"/>
              </w:rPr>
            </w:pPr>
          </w:p>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修</w:t>
            </w:r>
          </w:p>
          <w:p w:rsidR="0001455F" w:rsidRPr="0001455F" w:rsidRDefault="0001455F" w:rsidP="00DF40F2">
            <w:pPr>
              <w:jc w:val="center"/>
              <w:rPr>
                <w:rFonts w:ascii="Times New Roman" w:hAnsi="Times New Roman" w:cs="Times New Roman"/>
                <w:szCs w:val="21"/>
              </w:rPr>
            </w:pPr>
          </w:p>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课</w:t>
            </w:r>
          </w:p>
        </w:tc>
        <w:tc>
          <w:tcPr>
            <w:tcW w:w="988" w:type="dxa"/>
            <w:gridSpan w:val="2"/>
            <w:vMerge w:val="restart"/>
            <w:vAlign w:val="center"/>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公共</w:t>
            </w:r>
          </w:p>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必修</w:t>
            </w:r>
          </w:p>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课</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M08001</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政治经济形势与管理前沿</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p>
        </w:tc>
        <w:tc>
          <w:tcPr>
            <w:tcW w:w="1080" w:type="dxa"/>
            <w:vMerge w:val="restart"/>
            <w:vAlign w:val="center"/>
          </w:tcPr>
          <w:p w:rsidR="0001455F" w:rsidRPr="0001455F" w:rsidRDefault="0001455F" w:rsidP="00DF40F2">
            <w:pPr>
              <w:spacing w:before="120"/>
              <w:rPr>
                <w:rFonts w:ascii="Times New Roman" w:hAnsi="Times New Roman" w:cs="Times New Roman"/>
                <w:szCs w:val="21"/>
              </w:rPr>
            </w:pPr>
            <w:r w:rsidRPr="0001455F">
              <w:rPr>
                <w:rFonts w:ascii="Times New Roman" w:hAnsi="Times New Roman" w:cs="Times New Roman"/>
                <w:szCs w:val="21"/>
              </w:rPr>
              <w:t>12</w:t>
            </w:r>
            <w:r w:rsidRPr="0001455F">
              <w:rPr>
                <w:rFonts w:ascii="Times New Roman" w:hAnsi="Times New Roman" w:cs="Times New Roman"/>
                <w:szCs w:val="21"/>
              </w:rPr>
              <w:t>学分</w:t>
            </w: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M08002</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商务英语</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64</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r w:rsidRPr="0001455F">
              <w:rPr>
                <w:rFonts w:ascii="Times New Roman" w:hAnsi="Times New Roman" w:cs="Times New Roman"/>
                <w:szCs w:val="21"/>
              </w:rPr>
              <w:t>、</w:t>
            </w: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M08003</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商业伦理与企业社会责任</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M08004</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企业经营策略模拟</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M08005</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经济法</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restart"/>
            <w:vAlign w:val="center"/>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核心课程</w:t>
            </w:r>
            <w:r w:rsidRPr="0001455F">
              <w:rPr>
                <w:rFonts w:ascii="Times New Roman" w:hAnsi="Times New Roman" w:cs="Times New Roman"/>
                <w:szCs w:val="21"/>
              </w:rPr>
              <w:t>/</w:t>
            </w:r>
            <w:r w:rsidRPr="0001455F">
              <w:rPr>
                <w:rFonts w:ascii="Times New Roman" w:hAnsi="Times New Roman" w:cs="Times New Roman"/>
                <w:szCs w:val="21"/>
              </w:rPr>
              <w:t>（专业基础课）</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M08006</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管理学</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p>
        </w:tc>
        <w:tc>
          <w:tcPr>
            <w:tcW w:w="1080" w:type="dxa"/>
            <w:vMerge w:val="restart"/>
            <w:vAlign w:val="center"/>
          </w:tcPr>
          <w:p w:rsidR="0001455F" w:rsidRPr="0001455F" w:rsidRDefault="0001455F" w:rsidP="00DF40F2">
            <w:pPr>
              <w:spacing w:before="120"/>
              <w:rPr>
                <w:rFonts w:ascii="Times New Roman" w:hAnsi="Times New Roman" w:cs="Times New Roman"/>
                <w:szCs w:val="21"/>
              </w:rPr>
            </w:pPr>
            <w:r w:rsidRPr="0001455F">
              <w:rPr>
                <w:rFonts w:ascii="Times New Roman" w:hAnsi="Times New Roman" w:cs="Times New Roman"/>
                <w:szCs w:val="21"/>
              </w:rPr>
              <w:t>28</w:t>
            </w:r>
            <w:r w:rsidRPr="0001455F">
              <w:rPr>
                <w:rFonts w:ascii="Times New Roman" w:hAnsi="Times New Roman" w:cs="Times New Roman"/>
                <w:szCs w:val="21"/>
              </w:rPr>
              <w:t>学分</w:t>
            </w: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M08007</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管理经济学</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M08008</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组织行为学</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M08009</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会计学</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1</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M08010</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运营管理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M08011</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市场营销</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before="120"/>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M08012</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战略管理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jc w:val="center"/>
              <w:rPr>
                <w:rFonts w:ascii="Times New Roman" w:hAnsi="Times New Roman" w:cs="Times New Roman"/>
                <w:szCs w:val="21"/>
              </w:rPr>
            </w:pPr>
          </w:p>
        </w:tc>
        <w:tc>
          <w:tcPr>
            <w:tcW w:w="988" w:type="dxa"/>
            <w:gridSpan w:val="2"/>
            <w:vMerge/>
            <w:vAlign w:val="center"/>
          </w:tcPr>
          <w:p w:rsidR="0001455F" w:rsidRPr="0001455F" w:rsidRDefault="0001455F" w:rsidP="00DF40F2">
            <w:pPr>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M08013</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信息系统与信息资源管理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rPr>
                <w:rFonts w:ascii="Times New Roman" w:hAnsi="Times New Roman" w:cs="Times New Roman"/>
                <w:szCs w:val="21"/>
              </w:rPr>
            </w:pPr>
          </w:p>
        </w:tc>
        <w:tc>
          <w:tcPr>
            <w:tcW w:w="988" w:type="dxa"/>
            <w:gridSpan w:val="2"/>
            <w:vMerge/>
            <w:vAlign w:val="center"/>
          </w:tcPr>
          <w:p w:rsidR="0001455F" w:rsidRPr="0001455F" w:rsidRDefault="0001455F" w:rsidP="00DF40F2">
            <w:pPr>
              <w:spacing w:before="120"/>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M08014</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财务管理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48</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452" w:type="dxa"/>
            <w:vMerge/>
            <w:vAlign w:val="center"/>
          </w:tcPr>
          <w:p w:rsidR="0001455F" w:rsidRPr="0001455F" w:rsidRDefault="0001455F" w:rsidP="00DF40F2">
            <w:pPr>
              <w:spacing w:before="120"/>
              <w:rPr>
                <w:rFonts w:ascii="Times New Roman" w:hAnsi="Times New Roman" w:cs="Times New Roman"/>
                <w:szCs w:val="21"/>
              </w:rPr>
            </w:pPr>
          </w:p>
        </w:tc>
        <w:tc>
          <w:tcPr>
            <w:tcW w:w="988" w:type="dxa"/>
            <w:gridSpan w:val="2"/>
            <w:vMerge/>
            <w:vAlign w:val="center"/>
          </w:tcPr>
          <w:p w:rsidR="0001455F" w:rsidRPr="0001455F" w:rsidRDefault="0001455F" w:rsidP="00DF40F2">
            <w:pPr>
              <w:spacing w:before="120"/>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M08015</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人力资源管理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1080" w:type="dxa"/>
            <w:vMerge/>
            <w:vAlign w:val="center"/>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1440" w:type="dxa"/>
            <w:gridSpan w:val="3"/>
            <w:vAlign w:val="center"/>
          </w:tcPr>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必修环节</w:t>
            </w:r>
          </w:p>
        </w:tc>
        <w:tc>
          <w:tcPr>
            <w:tcW w:w="1172" w:type="dxa"/>
            <w:vAlign w:val="center"/>
          </w:tcPr>
          <w:p w:rsidR="0001455F" w:rsidRPr="0001455F" w:rsidRDefault="0001455F" w:rsidP="00DF40F2">
            <w:pPr>
              <w:spacing w:line="360" w:lineRule="atLeast"/>
              <w:jc w:val="center"/>
              <w:rPr>
                <w:rFonts w:ascii="Times New Roman" w:hAnsi="Times New Roman" w:cs="Times New Roman"/>
                <w:szCs w:val="21"/>
              </w:rPr>
            </w:pPr>
            <w:r w:rsidRPr="0001455F">
              <w:rPr>
                <w:rFonts w:ascii="Times New Roman" w:hAnsi="Times New Roman" w:cs="Times New Roman"/>
                <w:szCs w:val="21"/>
              </w:rPr>
              <w:t>M08016</w:t>
            </w:r>
          </w:p>
        </w:tc>
        <w:tc>
          <w:tcPr>
            <w:tcW w:w="3240" w:type="dxa"/>
            <w:vAlign w:val="bottom"/>
          </w:tcPr>
          <w:p w:rsidR="0001455F" w:rsidRPr="0001455F" w:rsidRDefault="0001455F" w:rsidP="00DF40F2">
            <w:pPr>
              <w:rPr>
                <w:rFonts w:ascii="Times New Roman" w:hAnsi="Times New Roman" w:cs="Times New Roman"/>
                <w:szCs w:val="21"/>
              </w:rPr>
            </w:pPr>
            <w:r w:rsidRPr="0001455F">
              <w:rPr>
                <w:rFonts w:ascii="Times New Roman" w:hAnsi="Times New Roman" w:cs="Times New Roman"/>
                <w:szCs w:val="21"/>
              </w:rPr>
              <w:t>专题讲座</w:t>
            </w:r>
          </w:p>
        </w:tc>
        <w:tc>
          <w:tcPr>
            <w:tcW w:w="720" w:type="dxa"/>
            <w:vAlign w:val="center"/>
          </w:tcPr>
          <w:p w:rsidR="0001455F" w:rsidRPr="0001455F" w:rsidRDefault="0001455F" w:rsidP="00DF40F2">
            <w:pPr>
              <w:spacing w:line="360" w:lineRule="atLeast"/>
              <w:jc w:val="center"/>
              <w:rPr>
                <w:rFonts w:ascii="Times New Roman" w:hAnsi="Times New Roman" w:cs="Times New Roman"/>
                <w:szCs w:val="21"/>
              </w:rPr>
            </w:pPr>
          </w:p>
        </w:tc>
        <w:tc>
          <w:tcPr>
            <w:tcW w:w="720" w:type="dxa"/>
            <w:vAlign w:val="center"/>
          </w:tcPr>
          <w:p w:rsidR="0001455F" w:rsidRPr="0001455F" w:rsidRDefault="0001455F" w:rsidP="00DF40F2">
            <w:pPr>
              <w:spacing w:line="360" w:lineRule="atLeas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360" w:lineRule="atLeast"/>
              <w:jc w:val="center"/>
              <w:rPr>
                <w:rFonts w:ascii="Times New Roman" w:hAnsi="Times New Roman" w:cs="Times New Roman"/>
                <w:szCs w:val="21"/>
              </w:rPr>
            </w:pPr>
          </w:p>
        </w:tc>
        <w:tc>
          <w:tcPr>
            <w:tcW w:w="1080" w:type="dxa"/>
            <w:vAlign w:val="center"/>
          </w:tcPr>
          <w:p w:rsidR="0001455F" w:rsidRPr="0001455F" w:rsidRDefault="0001455F" w:rsidP="00DF40F2">
            <w:pPr>
              <w:spacing w:line="360" w:lineRule="atLeast"/>
              <w:ind w:leftChars="50" w:left="210" w:hangingChars="50" w:hanging="105"/>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restart"/>
            <w:vAlign w:val="center"/>
          </w:tcPr>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选</w:t>
            </w:r>
          </w:p>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修</w:t>
            </w:r>
          </w:p>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课</w:t>
            </w:r>
          </w:p>
          <w:p w:rsidR="0001455F" w:rsidRPr="0001455F" w:rsidRDefault="0001455F" w:rsidP="00DF40F2">
            <w:pPr>
              <w:spacing w:before="120"/>
              <w:jc w:val="center"/>
              <w:rPr>
                <w:rFonts w:ascii="Times New Roman" w:hAnsi="Times New Roman" w:cs="Times New Roman"/>
                <w:szCs w:val="21"/>
              </w:rPr>
            </w:pPr>
          </w:p>
        </w:tc>
        <w:tc>
          <w:tcPr>
            <w:tcW w:w="720" w:type="dxa"/>
            <w:vMerge w:val="restart"/>
            <w:vAlign w:val="center"/>
          </w:tcPr>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企业战略与管理</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M08017</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现代企业理论</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restart"/>
            <w:vAlign w:val="center"/>
          </w:tcPr>
          <w:p w:rsidR="0001455F" w:rsidRPr="0001455F" w:rsidRDefault="0001455F" w:rsidP="00DF40F2">
            <w:pPr>
              <w:spacing w:line="360" w:lineRule="atLeast"/>
              <w:jc w:val="center"/>
              <w:rPr>
                <w:rFonts w:ascii="Times New Roman" w:hAnsi="Times New Roman" w:cs="Times New Roman"/>
                <w:szCs w:val="21"/>
              </w:rPr>
            </w:pPr>
            <w:r w:rsidRPr="0001455F">
              <w:rPr>
                <w:rFonts w:ascii="Times New Roman" w:hAnsi="Times New Roman" w:cs="Times New Roman"/>
                <w:szCs w:val="21"/>
              </w:rPr>
              <w:t>6</w:t>
            </w:r>
            <w:r w:rsidRPr="0001455F">
              <w:rPr>
                <w:rFonts w:ascii="Times New Roman" w:hAnsi="Times New Roman" w:cs="Times New Roman"/>
                <w:szCs w:val="21"/>
              </w:rPr>
              <w:t>学分</w:t>
            </w: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M08018</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公司治理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M08019</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企业国际化战略</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M08020</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博弈论与竞争战略</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restart"/>
            <w:vAlign w:val="center"/>
          </w:tcPr>
          <w:p w:rsidR="0001455F" w:rsidRPr="0001455F" w:rsidRDefault="0001455F" w:rsidP="00DF40F2">
            <w:pPr>
              <w:spacing w:before="120"/>
              <w:jc w:val="center"/>
              <w:rPr>
                <w:rFonts w:ascii="Times New Roman" w:hAnsi="Times New Roman" w:cs="Times New Roman"/>
                <w:szCs w:val="21"/>
              </w:rPr>
            </w:pPr>
            <w:r w:rsidRPr="0001455F">
              <w:rPr>
                <w:rFonts w:ascii="Times New Roman" w:hAnsi="Times New Roman" w:cs="Times New Roman"/>
                <w:szCs w:val="21"/>
              </w:rPr>
              <w:t>国际化经营与管理</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M08021</w:t>
            </w:r>
          </w:p>
        </w:tc>
        <w:tc>
          <w:tcPr>
            <w:tcW w:w="3240" w:type="dxa"/>
            <w:vAlign w:val="center"/>
          </w:tcPr>
          <w:p w:rsidR="0001455F" w:rsidRPr="0001455F" w:rsidRDefault="0001455F" w:rsidP="00DF40F2">
            <w:pPr>
              <w:spacing w:line="260" w:lineRule="exact"/>
              <w:rPr>
                <w:rFonts w:ascii="Times New Roman" w:hAnsi="Times New Roman" w:cs="Times New Roman"/>
                <w:kern w:val="0"/>
                <w:szCs w:val="21"/>
              </w:rPr>
            </w:pPr>
            <w:r w:rsidRPr="0001455F">
              <w:rPr>
                <w:rFonts w:ascii="Times New Roman" w:hAnsi="Times New Roman" w:cs="Times New Roman"/>
                <w:kern w:val="0"/>
                <w:szCs w:val="21"/>
              </w:rPr>
              <w:t>跨国公司经营与管理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M08022</w:t>
            </w:r>
          </w:p>
        </w:tc>
        <w:tc>
          <w:tcPr>
            <w:tcW w:w="3240" w:type="dxa"/>
            <w:vAlign w:val="center"/>
          </w:tcPr>
          <w:p w:rsidR="0001455F" w:rsidRPr="0001455F" w:rsidRDefault="0001455F" w:rsidP="00DF40F2">
            <w:pPr>
              <w:spacing w:line="260" w:lineRule="exact"/>
              <w:rPr>
                <w:rFonts w:ascii="Times New Roman" w:hAnsi="Times New Roman" w:cs="Times New Roman"/>
                <w:kern w:val="0"/>
                <w:szCs w:val="21"/>
              </w:rPr>
            </w:pPr>
            <w:r w:rsidRPr="0001455F">
              <w:rPr>
                <w:rFonts w:ascii="Times New Roman" w:hAnsi="Times New Roman" w:cs="Times New Roman"/>
                <w:kern w:val="0"/>
                <w:szCs w:val="21"/>
              </w:rPr>
              <w:t>跨文化管理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M08023</w:t>
            </w:r>
          </w:p>
        </w:tc>
        <w:tc>
          <w:tcPr>
            <w:tcW w:w="3240" w:type="dxa"/>
            <w:vAlign w:val="center"/>
          </w:tcPr>
          <w:p w:rsidR="0001455F" w:rsidRPr="0001455F" w:rsidRDefault="0001455F" w:rsidP="00DF40F2">
            <w:pPr>
              <w:spacing w:line="260" w:lineRule="exact"/>
              <w:rPr>
                <w:rFonts w:ascii="Times New Roman" w:hAnsi="Times New Roman" w:cs="Times New Roman"/>
                <w:kern w:val="0"/>
                <w:szCs w:val="21"/>
              </w:rPr>
            </w:pPr>
            <w:r w:rsidRPr="0001455F">
              <w:rPr>
                <w:rFonts w:ascii="Times New Roman" w:hAnsi="Times New Roman" w:cs="Times New Roman"/>
                <w:kern w:val="0"/>
                <w:szCs w:val="21"/>
              </w:rPr>
              <w:t>国际贸易实务</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M08024</w:t>
            </w:r>
          </w:p>
        </w:tc>
        <w:tc>
          <w:tcPr>
            <w:tcW w:w="3240" w:type="dxa"/>
            <w:vAlign w:val="center"/>
          </w:tcPr>
          <w:p w:rsidR="0001455F" w:rsidRPr="0001455F" w:rsidRDefault="0001455F" w:rsidP="00DF40F2">
            <w:pPr>
              <w:spacing w:line="260" w:lineRule="exact"/>
              <w:rPr>
                <w:rFonts w:ascii="Times New Roman" w:hAnsi="Times New Roman" w:cs="Times New Roman"/>
                <w:kern w:val="0"/>
                <w:szCs w:val="21"/>
              </w:rPr>
            </w:pPr>
            <w:r w:rsidRPr="0001455F">
              <w:rPr>
                <w:rFonts w:ascii="Times New Roman" w:hAnsi="Times New Roman" w:cs="Times New Roman"/>
                <w:kern w:val="0"/>
                <w:szCs w:val="21"/>
              </w:rPr>
              <w:t>国际商务谈判</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M08025</w:t>
            </w:r>
          </w:p>
        </w:tc>
        <w:tc>
          <w:tcPr>
            <w:tcW w:w="3240" w:type="dxa"/>
            <w:vAlign w:val="center"/>
          </w:tcPr>
          <w:p w:rsidR="0001455F" w:rsidRPr="0001455F" w:rsidRDefault="0001455F" w:rsidP="00DF40F2">
            <w:pPr>
              <w:rPr>
                <w:rFonts w:ascii="Times New Roman" w:hAnsi="Times New Roman" w:cs="Times New Roman"/>
                <w:szCs w:val="21"/>
              </w:rPr>
            </w:pPr>
            <w:r w:rsidRPr="0001455F">
              <w:rPr>
                <w:rFonts w:ascii="Times New Roman" w:hAnsi="Times New Roman" w:cs="Times New Roman"/>
                <w:kern w:val="0"/>
                <w:szCs w:val="21"/>
              </w:rPr>
              <w:t>国际石油经济</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restart"/>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公司财务</w:t>
            </w:r>
            <w:r w:rsidRPr="0001455F">
              <w:rPr>
                <w:rFonts w:ascii="Times New Roman" w:hAnsi="Times New Roman" w:cs="Times New Roman"/>
                <w:szCs w:val="21"/>
              </w:rPr>
              <w:lastRenderedPageBreak/>
              <w:t>与会计</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lastRenderedPageBreak/>
              <w:t>M08026</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并购与重组</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M08027</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税务会计与纳税筹划</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M08028</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预算管理与成本控制</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M08029</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石油天然气会计</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restart"/>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营销与物流管理</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M08030</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公共关系与沟通</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M08031</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消费者行为学</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M08032</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成品油营销</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M08033</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kern w:val="0"/>
                <w:szCs w:val="21"/>
              </w:rPr>
              <w:t>物流与供应链管理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restart"/>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人力资源与组织管理</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M08034</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组织设计与人力资源规划</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M08035</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管理沟通</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M08036</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绩效管理与薪酬管理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M08037</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职业生涯规划</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M08038</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非营利组织管理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restart"/>
            <w:tcBorders>
              <w:top w:val="single" w:sz="4" w:space="0" w:color="auto"/>
            </w:tcBorders>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项目管理与风险管理</w:t>
            </w: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M08039</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bookmarkStart w:id="0" w:name="_GoBack"/>
        <w:bookmarkEnd w:id="0"/>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M08040</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项目计划与控制</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jc w:val="center"/>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M08041</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项目经济评价</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M08042</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项目评估与风险管理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284"/>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M08043</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项目人力资源与沟通管理</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tcPr>
          <w:p w:rsidR="0001455F" w:rsidRPr="0001455F" w:rsidRDefault="0001455F" w:rsidP="00DF40F2">
            <w:pPr>
              <w:spacing w:line="360" w:lineRule="atLeast"/>
              <w:rPr>
                <w:rFonts w:ascii="Times New Roman" w:hAnsi="Times New Roman" w:cs="Times New Roman"/>
                <w:szCs w:val="21"/>
              </w:rPr>
            </w:pPr>
          </w:p>
        </w:tc>
      </w:tr>
      <w:tr w:rsidR="0001455F" w:rsidRPr="0001455F" w:rsidTr="0001455F">
        <w:tblPrEx>
          <w:tblCellMar>
            <w:top w:w="0" w:type="dxa"/>
            <w:bottom w:w="0" w:type="dxa"/>
          </w:tblCellMar>
        </w:tblPrEx>
        <w:trPr>
          <w:cantSplit/>
          <w:trHeight w:val="377"/>
        </w:trPr>
        <w:tc>
          <w:tcPr>
            <w:tcW w:w="720" w:type="dxa"/>
            <w:gridSpan w:val="2"/>
            <w:vMerge/>
            <w:vAlign w:val="center"/>
          </w:tcPr>
          <w:p w:rsidR="0001455F" w:rsidRPr="0001455F" w:rsidRDefault="0001455F" w:rsidP="00DF40F2">
            <w:pPr>
              <w:spacing w:before="120"/>
              <w:jc w:val="center"/>
              <w:rPr>
                <w:rFonts w:ascii="Times New Roman" w:hAnsi="Times New Roman" w:cs="Times New Roman"/>
                <w:szCs w:val="21"/>
              </w:rPr>
            </w:pPr>
          </w:p>
        </w:tc>
        <w:tc>
          <w:tcPr>
            <w:tcW w:w="720" w:type="dxa"/>
            <w:vMerge/>
            <w:vAlign w:val="center"/>
          </w:tcPr>
          <w:p w:rsidR="0001455F" w:rsidRPr="0001455F" w:rsidRDefault="0001455F" w:rsidP="00DF40F2">
            <w:pPr>
              <w:spacing w:before="120"/>
              <w:jc w:val="center"/>
              <w:rPr>
                <w:rFonts w:ascii="Times New Roman" w:hAnsi="Times New Roman" w:cs="Times New Roman"/>
                <w:szCs w:val="21"/>
              </w:rPr>
            </w:pPr>
          </w:p>
        </w:tc>
        <w:tc>
          <w:tcPr>
            <w:tcW w:w="1172" w:type="dxa"/>
            <w:vAlign w:val="bottom"/>
          </w:tcPr>
          <w:p w:rsidR="0001455F" w:rsidRPr="0001455F" w:rsidRDefault="0001455F" w:rsidP="00DF40F2">
            <w:pPr>
              <w:jc w:val="center"/>
              <w:rPr>
                <w:rFonts w:ascii="Times New Roman" w:hAnsi="Times New Roman" w:cs="Times New Roman"/>
                <w:szCs w:val="21"/>
              </w:rPr>
            </w:pPr>
            <w:r w:rsidRPr="0001455F">
              <w:rPr>
                <w:rFonts w:ascii="Times New Roman" w:hAnsi="Times New Roman" w:cs="Times New Roman"/>
                <w:szCs w:val="21"/>
              </w:rPr>
              <w:t>M08044</w:t>
            </w:r>
          </w:p>
        </w:tc>
        <w:tc>
          <w:tcPr>
            <w:tcW w:w="3240" w:type="dxa"/>
            <w:vAlign w:val="center"/>
          </w:tcPr>
          <w:p w:rsidR="0001455F" w:rsidRPr="0001455F" w:rsidRDefault="0001455F" w:rsidP="00DF40F2">
            <w:pPr>
              <w:spacing w:line="260" w:lineRule="exact"/>
              <w:rPr>
                <w:rFonts w:ascii="Times New Roman" w:hAnsi="Times New Roman" w:cs="Times New Roman"/>
                <w:szCs w:val="21"/>
              </w:rPr>
            </w:pPr>
            <w:r w:rsidRPr="0001455F">
              <w:rPr>
                <w:rFonts w:ascii="Times New Roman" w:hAnsi="Times New Roman" w:cs="Times New Roman"/>
                <w:szCs w:val="21"/>
              </w:rPr>
              <w:t>项目管理应用与案例</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2</w:t>
            </w:r>
          </w:p>
        </w:tc>
        <w:tc>
          <w:tcPr>
            <w:tcW w:w="720" w:type="dxa"/>
            <w:vAlign w:val="center"/>
          </w:tcPr>
          <w:p w:rsidR="0001455F" w:rsidRPr="0001455F" w:rsidRDefault="0001455F" w:rsidP="00DF40F2">
            <w:pPr>
              <w:spacing w:line="260" w:lineRule="exact"/>
              <w:jc w:val="center"/>
              <w:rPr>
                <w:rFonts w:ascii="Times New Roman" w:hAnsi="Times New Roman" w:cs="Times New Roman"/>
                <w:szCs w:val="21"/>
              </w:rPr>
            </w:pPr>
            <w:r w:rsidRPr="0001455F">
              <w:rPr>
                <w:rFonts w:ascii="Times New Roman" w:hAnsi="Times New Roman" w:cs="Times New Roman"/>
                <w:szCs w:val="21"/>
              </w:rPr>
              <w:t>3</w:t>
            </w:r>
          </w:p>
        </w:tc>
        <w:tc>
          <w:tcPr>
            <w:tcW w:w="1080" w:type="dxa"/>
            <w:vMerge/>
            <w:vAlign w:val="center"/>
          </w:tcPr>
          <w:p w:rsidR="0001455F" w:rsidRPr="0001455F" w:rsidRDefault="0001455F" w:rsidP="00DF40F2">
            <w:pPr>
              <w:spacing w:line="360" w:lineRule="atLeast"/>
              <w:rPr>
                <w:rFonts w:ascii="Times New Roman" w:hAnsi="Times New Roman" w:cs="Times New Roman"/>
                <w:szCs w:val="21"/>
              </w:rPr>
            </w:pPr>
          </w:p>
        </w:tc>
      </w:tr>
    </w:tbl>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七、专题讲座</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举办专题讲座是为了让</w:t>
      </w:r>
      <w:r w:rsidRPr="0001455F">
        <w:rPr>
          <w:rFonts w:ascii="Times New Roman" w:eastAsia="宋体" w:hAnsi="Times New Roman" w:cs="Times New Roman"/>
          <w:sz w:val="24"/>
        </w:rPr>
        <w:t>MBA</w:t>
      </w:r>
      <w:r w:rsidRPr="0001455F">
        <w:rPr>
          <w:rFonts w:ascii="Times New Roman" w:eastAsia="宋体" w:hAnsi="Times New Roman" w:cs="Times New Roman"/>
          <w:sz w:val="24"/>
        </w:rPr>
        <w:t>学员了解本学科各研究方向的理论前沿和实践动态，以拓宽学员视野，优化知识结构。专题讲座由来自企业界、学术界、政界和文化界的专家主讲。学员</w:t>
      </w:r>
      <w:r w:rsidRPr="0001455F">
        <w:rPr>
          <w:rFonts w:ascii="Times New Roman" w:eastAsia="宋体" w:hAnsi="Times New Roman" w:cs="Times New Roman"/>
          <w:sz w:val="24"/>
        </w:rPr>
        <w:t>3</w:t>
      </w:r>
      <w:r w:rsidRPr="0001455F">
        <w:rPr>
          <w:rFonts w:ascii="Times New Roman" w:eastAsia="宋体" w:hAnsi="Times New Roman" w:cs="Times New Roman"/>
          <w:sz w:val="24"/>
        </w:rPr>
        <w:t>年至少要参与</w:t>
      </w:r>
      <w:r w:rsidRPr="0001455F">
        <w:rPr>
          <w:rFonts w:ascii="Times New Roman" w:eastAsia="宋体" w:hAnsi="Times New Roman" w:cs="Times New Roman"/>
          <w:sz w:val="24"/>
        </w:rPr>
        <w:t>10</w:t>
      </w:r>
      <w:r w:rsidRPr="0001455F">
        <w:rPr>
          <w:rFonts w:ascii="Times New Roman" w:eastAsia="宋体" w:hAnsi="Times New Roman" w:cs="Times New Roman"/>
          <w:sz w:val="24"/>
        </w:rPr>
        <w:t>次专题讲座。本环节通过后计</w:t>
      </w:r>
      <w:r w:rsidRPr="0001455F">
        <w:rPr>
          <w:rFonts w:ascii="Times New Roman" w:eastAsia="宋体" w:hAnsi="Times New Roman" w:cs="Times New Roman"/>
          <w:sz w:val="24"/>
        </w:rPr>
        <w:t>2</w:t>
      </w:r>
      <w:r w:rsidRPr="0001455F">
        <w:rPr>
          <w:rFonts w:ascii="Times New Roman" w:eastAsia="宋体" w:hAnsi="Times New Roman" w:cs="Times New Roman"/>
          <w:sz w:val="24"/>
        </w:rPr>
        <w:t>个实践学分。</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八、教学方式</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采用启发式与研讨式教学方法。授课内容要求理论联系实际，注重实际应用，重视培养学生提炼问题、分析问题、解决问题的能力，突出学生与教师、学生与学生之间的互动与交流。强调授课、讨论、案例教学、自学、调查、撰写学术论文（报告）及学位论文等相结合的教学方式。学员的学业实行导师制，学员在导师指导下开展科学研究和实务操作。</w:t>
      </w:r>
    </w:p>
    <w:p w:rsidR="0001455F" w:rsidRPr="0001455F" w:rsidRDefault="0001455F" w:rsidP="0001455F">
      <w:pPr>
        <w:spacing w:line="500" w:lineRule="exact"/>
        <w:rPr>
          <w:rFonts w:ascii="Times New Roman" w:eastAsia="黑体" w:hAnsi="Times New Roman" w:cs="Times New Roman"/>
          <w:sz w:val="28"/>
        </w:rPr>
      </w:pPr>
      <w:r w:rsidRPr="0001455F">
        <w:rPr>
          <w:rFonts w:ascii="Times New Roman" w:eastAsia="黑体" w:hAnsi="Times New Roman" w:cs="Times New Roman"/>
          <w:sz w:val="28"/>
        </w:rPr>
        <w:t>九、学位论文工作基本要求</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1</w:t>
      </w:r>
      <w:r w:rsidRPr="0001455F">
        <w:rPr>
          <w:rFonts w:ascii="Times New Roman" w:eastAsia="宋体" w:hAnsi="Times New Roman" w:cs="Times New Roman"/>
          <w:sz w:val="24"/>
        </w:rPr>
        <w:t>．</w:t>
      </w:r>
      <w:r w:rsidRPr="0001455F">
        <w:rPr>
          <w:rFonts w:ascii="Times New Roman" w:eastAsia="宋体" w:hAnsi="Times New Roman" w:cs="Times New Roman"/>
          <w:sz w:val="24"/>
        </w:rPr>
        <w:t>MBA</w:t>
      </w:r>
      <w:r w:rsidRPr="0001455F">
        <w:rPr>
          <w:rFonts w:ascii="Times New Roman" w:eastAsia="宋体" w:hAnsi="Times New Roman" w:cs="Times New Roman"/>
          <w:sz w:val="24"/>
        </w:rPr>
        <w:t>研究生必须修完培养方案中规定的课程，成绩合格，达到规定的</w:t>
      </w:r>
      <w:r w:rsidRPr="0001455F">
        <w:rPr>
          <w:rFonts w:ascii="Times New Roman" w:eastAsia="宋体" w:hAnsi="Times New Roman" w:cs="Times New Roman"/>
          <w:sz w:val="24"/>
        </w:rPr>
        <w:t>46</w:t>
      </w:r>
      <w:r w:rsidRPr="0001455F">
        <w:rPr>
          <w:rFonts w:ascii="Times New Roman" w:eastAsia="宋体" w:hAnsi="Times New Roman" w:cs="Times New Roman"/>
          <w:sz w:val="24"/>
        </w:rPr>
        <w:t>个课程学分方可进入学位论文阶段。撰写学位论文和论文答辩的时间至少为一年。</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2</w:t>
      </w:r>
      <w:r w:rsidRPr="0001455F">
        <w:rPr>
          <w:rFonts w:ascii="Times New Roman" w:eastAsia="宋体" w:hAnsi="Times New Roman" w:cs="Times New Roman"/>
          <w:sz w:val="24"/>
        </w:rPr>
        <w:t>．研究生应在导师指导下，在第三学期完成学位论文开题工作，论文课题</w:t>
      </w:r>
      <w:r w:rsidRPr="0001455F">
        <w:rPr>
          <w:rFonts w:ascii="Times New Roman" w:eastAsia="宋体" w:hAnsi="Times New Roman" w:cs="Times New Roman"/>
          <w:sz w:val="24"/>
        </w:rPr>
        <w:lastRenderedPageBreak/>
        <w:t>应与研究方向密切相关，具有实际运用价值。</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3</w:t>
      </w:r>
      <w:r w:rsidRPr="0001455F">
        <w:rPr>
          <w:rFonts w:ascii="Times New Roman" w:eastAsia="宋体" w:hAnsi="Times New Roman" w:cs="Times New Roman"/>
          <w:sz w:val="24"/>
        </w:rPr>
        <w:t>．学位论文指导实行双导师制，由校内导师和校外导师组成。校外导师由经济管理部门和企事业单位中具有高级专业技术职务的专家或企业家担任。</w:t>
      </w:r>
    </w:p>
    <w:p w:rsidR="0001455F" w:rsidRPr="0001455F" w:rsidRDefault="0001455F" w:rsidP="0001455F">
      <w:pPr>
        <w:spacing w:line="500" w:lineRule="exact"/>
        <w:ind w:firstLineChars="200" w:firstLine="480"/>
        <w:rPr>
          <w:rFonts w:ascii="Times New Roman" w:eastAsia="宋体" w:hAnsi="Times New Roman" w:cs="Times New Roman"/>
          <w:sz w:val="24"/>
        </w:rPr>
      </w:pPr>
      <w:r w:rsidRPr="0001455F">
        <w:rPr>
          <w:rFonts w:ascii="Times New Roman" w:eastAsia="宋体" w:hAnsi="Times New Roman" w:cs="Times New Roman"/>
          <w:sz w:val="24"/>
        </w:rPr>
        <w:t>4</w:t>
      </w:r>
      <w:r w:rsidRPr="0001455F">
        <w:rPr>
          <w:rFonts w:ascii="Times New Roman" w:eastAsia="宋体" w:hAnsi="Times New Roman" w:cs="Times New Roman"/>
          <w:sz w:val="24"/>
        </w:rPr>
        <w:t>．学位论文可以采用专题论文、企业专题研究、项目商业计划书、商业案例等形式，论文正文不少于</w:t>
      </w:r>
      <w:r w:rsidRPr="0001455F">
        <w:rPr>
          <w:rFonts w:ascii="Times New Roman" w:eastAsia="宋体" w:hAnsi="Times New Roman" w:cs="Times New Roman"/>
          <w:sz w:val="24"/>
        </w:rPr>
        <w:t>2.5</w:t>
      </w:r>
      <w:r w:rsidRPr="0001455F">
        <w:rPr>
          <w:rFonts w:ascii="Times New Roman" w:eastAsia="宋体" w:hAnsi="Times New Roman" w:cs="Times New Roman"/>
          <w:sz w:val="24"/>
        </w:rPr>
        <w:t>万字。</w:t>
      </w:r>
    </w:p>
    <w:sectPr w:rsidR="0001455F" w:rsidRPr="000145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5F"/>
    <w:rsid w:val="0001455F"/>
    <w:rsid w:val="000D2B2A"/>
    <w:rsid w:val="006F43FC"/>
    <w:rsid w:val="00FB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 Char"/>
    <w:basedOn w:val="a"/>
    <w:autoRedefine/>
    <w:rsid w:val="0001455F"/>
    <w:pPr>
      <w:snapToGrid w:val="0"/>
      <w:spacing w:line="360" w:lineRule="auto"/>
      <w:ind w:firstLineChars="200" w:firstLine="600"/>
      <w:jc w:val="center"/>
    </w:pPr>
    <w:rPr>
      <w:rFonts w:ascii="Times New Roman" w:eastAsia="仿宋_GB2312" w:hAnsi="Times New Roman" w:cs="Times New Roman"/>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 Char"/>
    <w:basedOn w:val="a"/>
    <w:autoRedefine/>
    <w:rsid w:val="0001455F"/>
    <w:pPr>
      <w:snapToGrid w:val="0"/>
      <w:spacing w:line="360" w:lineRule="auto"/>
      <w:ind w:firstLineChars="200" w:firstLine="600"/>
      <w:jc w:val="center"/>
    </w:pPr>
    <w:rPr>
      <w:rFonts w:ascii="Times New Roman" w:eastAsia="仿宋_GB2312"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1</cp:revision>
  <dcterms:created xsi:type="dcterms:W3CDTF">2021-03-11T09:45:00Z</dcterms:created>
  <dcterms:modified xsi:type="dcterms:W3CDTF">2021-03-11T09:48:00Z</dcterms:modified>
</cp:coreProperties>
</file>